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3117"/>
        <w:gridCol w:w="3117"/>
      </w:tblGrid>
      <w:tr w:rsidR="00F72672" w14:paraId="5AD59AAC" w14:textId="77777777" w:rsidTr="008E652D">
        <w:trPr>
          <w:trHeight w:val="229"/>
        </w:trPr>
        <w:tc>
          <w:tcPr>
            <w:tcW w:w="3115" w:type="dxa"/>
          </w:tcPr>
          <w:p w14:paraId="3817D8AA" w14:textId="77777777" w:rsidR="00F72672" w:rsidRDefault="00F72672" w:rsidP="008E652D">
            <w:pPr>
              <w:pStyle w:val="TableParagraph"/>
              <w:spacing w:line="210" w:lineRule="exact"/>
              <w:ind w:left="1332" w:right="13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Goal</w:t>
            </w:r>
          </w:p>
        </w:tc>
        <w:tc>
          <w:tcPr>
            <w:tcW w:w="3117" w:type="dxa"/>
          </w:tcPr>
          <w:p w14:paraId="05DFCBD3" w14:textId="77777777" w:rsidR="00F72672" w:rsidRDefault="00F72672" w:rsidP="008E652D">
            <w:pPr>
              <w:pStyle w:val="TableParagraph"/>
              <w:spacing w:line="210" w:lineRule="exact"/>
              <w:ind w:left="835"/>
              <w:rPr>
                <w:b/>
                <w:sz w:val="20"/>
              </w:rPr>
            </w:pPr>
            <w:r>
              <w:rPr>
                <w:b/>
                <w:sz w:val="20"/>
              </w:rPr>
              <w:t>Year 1 Objective</w:t>
            </w:r>
          </w:p>
        </w:tc>
        <w:tc>
          <w:tcPr>
            <w:tcW w:w="3117" w:type="dxa"/>
          </w:tcPr>
          <w:p w14:paraId="759B1DDD" w14:textId="77777777" w:rsidR="00F72672" w:rsidRDefault="00F72672" w:rsidP="008E652D">
            <w:pPr>
              <w:pStyle w:val="TableParagraph"/>
              <w:spacing w:line="210" w:lineRule="exact"/>
              <w:ind w:left="835"/>
              <w:rPr>
                <w:b/>
                <w:sz w:val="20"/>
              </w:rPr>
            </w:pPr>
            <w:r>
              <w:rPr>
                <w:b/>
                <w:sz w:val="20"/>
              </w:rPr>
              <w:t>Year 2 Objective</w:t>
            </w:r>
          </w:p>
        </w:tc>
      </w:tr>
      <w:tr w:rsidR="00F72672" w14:paraId="13CF1EBB" w14:textId="77777777" w:rsidTr="008E652D">
        <w:trPr>
          <w:trHeight w:val="1840"/>
        </w:trPr>
        <w:tc>
          <w:tcPr>
            <w:tcW w:w="3115" w:type="dxa"/>
          </w:tcPr>
          <w:p w14:paraId="4F9BAE32" w14:textId="77777777" w:rsidR="00F72672" w:rsidRDefault="00F72672" w:rsidP="008E652D">
            <w:pPr>
              <w:pStyle w:val="TableParagraph"/>
              <w:ind w:left="107" w:right="116"/>
              <w:rPr>
                <w:sz w:val="20"/>
              </w:rPr>
            </w:pPr>
            <w:r>
              <w:rPr>
                <w:sz w:val="20"/>
              </w:rPr>
              <w:t>Goal #1: Increase timely access to evidence-based outpatient behavioral health care for children, adolescents, and adults who are experiencing SMI, SUD, COD and/or SED to reduce consequences of non-treatment.</w:t>
            </w:r>
          </w:p>
        </w:tc>
        <w:tc>
          <w:tcPr>
            <w:tcW w:w="3117" w:type="dxa"/>
          </w:tcPr>
          <w:p w14:paraId="22769BB8" w14:textId="77777777" w:rsidR="00F72672" w:rsidRDefault="00F72672" w:rsidP="008E652D">
            <w:pPr>
              <w:pStyle w:val="TableParagraph"/>
              <w:ind w:left="108" w:right="100"/>
              <w:rPr>
                <w:sz w:val="20"/>
              </w:rPr>
            </w:pPr>
            <w:r>
              <w:rPr>
                <w:sz w:val="20"/>
              </w:rPr>
              <w:t>Objective #1.00: Between 9/1/2020 to 8/29/2021, the clinical team (CT) will have provided 500 new individuals with an initial evaluation within 10 business days from initial screening 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measured</w:t>
            </w:r>
          </w:p>
          <w:p w14:paraId="3B40965E" w14:textId="77777777" w:rsidR="00F72672" w:rsidRDefault="00F72672" w:rsidP="008E652D">
            <w:pPr>
              <w:pStyle w:val="TableParagraph"/>
              <w:spacing w:line="230" w:lineRule="atLeast"/>
              <w:ind w:left="108" w:right="113"/>
              <w:rPr>
                <w:sz w:val="20"/>
              </w:rPr>
            </w:pPr>
            <w:r>
              <w:rPr>
                <w:sz w:val="20"/>
              </w:rPr>
              <w:t>by Electronic Health Record (EHR) statistics.</w:t>
            </w:r>
          </w:p>
        </w:tc>
        <w:tc>
          <w:tcPr>
            <w:tcW w:w="3117" w:type="dxa"/>
          </w:tcPr>
          <w:p w14:paraId="37D57AA7" w14:textId="77777777" w:rsidR="00F72672" w:rsidRDefault="00F72672" w:rsidP="008E652D">
            <w:pPr>
              <w:pStyle w:val="TableParagraph"/>
              <w:ind w:left="108" w:right="115"/>
              <w:rPr>
                <w:sz w:val="20"/>
              </w:rPr>
            </w:pPr>
            <w:r>
              <w:rPr>
                <w:sz w:val="20"/>
              </w:rPr>
              <w:t>Objective #1.00: Between 9/1/2021 to 8/29/2022 the CT will have provided another 500 new individuals with an initial evaluation within 10 business days from initial screening as measured by EHR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statistics.</w:t>
            </w:r>
          </w:p>
        </w:tc>
      </w:tr>
      <w:tr w:rsidR="00F72672" w14:paraId="5C3F4E09" w14:textId="77777777" w:rsidTr="008E652D">
        <w:trPr>
          <w:trHeight w:val="1840"/>
        </w:trPr>
        <w:tc>
          <w:tcPr>
            <w:tcW w:w="3115" w:type="dxa"/>
          </w:tcPr>
          <w:p w14:paraId="0BDA990B" w14:textId="77777777" w:rsidR="00F72672" w:rsidRDefault="00F72672" w:rsidP="008E652D">
            <w:pPr>
              <w:pStyle w:val="TableParagraph"/>
              <w:ind w:left="107" w:right="116"/>
              <w:rPr>
                <w:sz w:val="20"/>
              </w:rPr>
            </w:pPr>
            <w:r>
              <w:rPr>
                <w:sz w:val="20"/>
              </w:rPr>
              <w:t>Goal #1: Increase timely access to evidence-based outpatient behavioral health care for children, adolescents, and adults who are experiencing SMI, SUD, COD and/or SED to reduce consequences of non-treatment.</w:t>
            </w:r>
          </w:p>
        </w:tc>
        <w:tc>
          <w:tcPr>
            <w:tcW w:w="3117" w:type="dxa"/>
          </w:tcPr>
          <w:p w14:paraId="5C2DFBCF" w14:textId="77777777" w:rsidR="00F72672" w:rsidRDefault="00F72672" w:rsidP="008E652D">
            <w:pPr>
              <w:pStyle w:val="TableParagraph"/>
              <w:ind w:left="107" w:right="91"/>
              <w:rPr>
                <w:sz w:val="20"/>
              </w:rPr>
            </w:pPr>
            <w:r>
              <w:rPr>
                <w:sz w:val="20"/>
              </w:rPr>
              <w:t>Objective #1.01: Between 9/1/2020 and 8/29/2021, the CT will have delivered evidence-based outpatient behavioral health care to qualifying adults leading to an improved quality score of Depression</w:t>
            </w:r>
          </w:p>
          <w:p w14:paraId="6B22129B" w14:textId="77777777" w:rsidR="00F72672" w:rsidRDefault="00F72672" w:rsidP="008E652D">
            <w:pPr>
              <w:pStyle w:val="TableParagraph"/>
              <w:spacing w:line="230" w:lineRule="atLeast"/>
              <w:ind w:left="108" w:right="184"/>
              <w:rPr>
                <w:sz w:val="20"/>
              </w:rPr>
            </w:pPr>
            <w:r>
              <w:rPr>
                <w:sz w:val="20"/>
              </w:rPr>
              <w:t>Remission by 10% as measured by the PHQ-9.</w:t>
            </w:r>
          </w:p>
        </w:tc>
        <w:tc>
          <w:tcPr>
            <w:tcW w:w="3117" w:type="dxa"/>
          </w:tcPr>
          <w:p w14:paraId="1530BF6B" w14:textId="77777777" w:rsidR="00F72672" w:rsidRDefault="00F72672" w:rsidP="008E652D">
            <w:pPr>
              <w:pStyle w:val="TableParagraph"/>
              <w:ind w:left="108" w:right="91"/>
              <w:rPr>
                <w:sz w:val="20"/>
              </w:rPr>
            </w:pPr>
            <w:r>
              <w:rPr>
                <w:sz w:val="20"/>
              </w:rPr>
              <w:t>Objective #1.01: Between 9/1/2021 and 8/29/2022, the CT will have delivered evidence-based outpatient behavioral health care to qualifying adults leading to an improved quality score of Depression</w:t>
            </w:r>
          </w:p>
          <w:p w14:paraId="0A2C3022" w14:textId="77777777" w:rsidR="00F72672" w:rsidRDefault="00F72672" w:rsidP="008E652D">
            <w:pPr>
              <w:pStyle w:val="TableParagraph"/>
              <w:spacing w:line="230" w:lineRule="atLeast"/>
              <w:ind w:left="108" w:right="184"/>
              <w:rPr>
                <w:sz w:val="20"/>
              </w:rPr>
            </w:pPr>
            <w:r>
              <w:rPr>
                <w:sz w:val="20"/>
              </w:rPr>
              <w:t>Remission by 20% as measured by the PHQ-9.</w:t>
            </w:r>
          </w:p>
        </w:tc>
      </w:tr>
      <w:tr w:rsidR="00F72672" w14:paraId="6AFF8AAF" w14:textId="77777777" w:rsidTr="008E652D">
        <w:trPr>
          <w:trHeight w:val="1610"/>
        </w:trPr>
        <w:tc>
          <w:tcPr>
            <w:tcW w:w="3115" w:type="dxa"/>
          </w:tcPr>
          <w:p w14:paraId="03A18644" w14:textId="77777777" w:rsidR="00F72672" w:rsidRDefault="00F72672" w:rsidP="008E652D">
            <w:pPr>
              <w:pStyle w:val="TableParagraph"/>
              <w:ind w:left="107" w:right="116"/>
              <w:rPr>
                <w:sz w:val="20"/>
              </w:rPr>
            </w:pPr>
            <w:r>
              <w:rPr>
                <w:sz w:val="20"/>
              </w:rPr>
              <w:t>Goal #1: Increase timely access to evidence-based outpatient behavioral health care for children, adolescents, and adults who are experiencing SMI, SUD, COD</w:t>
            </w:r>
          </w:p>
          <w:p w14:paraId="66A88DC2" w14:textId="77777777" w:rsidR="00F72672" w:rsidRDefault="00F72672" w:rsidP="008E652D">
            <w:pPr>
              <w:pStyle w:val="TableParagraph"/>
              <w:spacing w:line="230" w:lineRule="atLeast"/>
              <w:ind w:left="107" w:right="101"/>
              <w:rPr>
                <w:sz w:val="20"/>
              </w:rPr>
            </w:pPr>
            <w:r>
              <w:rPr>
                <w:sz w:val="20"/>
              </w:rPr>
              <w:t>and/or SED to reduce consequences of non-treatment.</w:t>
            </w:r>
          </w:p>
        </w:tc>
        <w:tc>
          <w:tcPr>
            <w:tcW w:w="3117" w:type="dxa"/>
          </w:tcPr>
          <w:p w14:paraId="6B532803" w14:textId="77777777" w:rsidR="00F72672" w:rsidRDefault="00F72672" w:rsidP="008E652D">
            <w:pPr>
              <w:pStyle w:val="TableParagraph"/>
              <w:ind w:left="108" w:right="114"/>
              <w:rPr>
                <w:sz w:val="20"/>
              </w:rPr>
            </w:pPr>
            <w:r>
              <w:rPr>
                <w:sz w:val="20"/>
              </w:rPr>
              <w:t>Objective #1.02: By 8/29/2021, the CT will have assessed suicide risk of 80% of adults who are screened as measured by the Adult Suicide Risk Assessment (SRA).</w:t>
            </w:r>
          </w:p>
        </w:tc>
        <w:tc>
          <w:tcPr>
            <w:tcW w:w="3117" w:type="dxa"/>
          </w:tcPr>
          <w:p w14:paraId="7032E170" w14:textId="77777777" w:rsidR="00F72672" w:rsidRDefault="00F72672" w:rsidP="008E652D">
            <w:pPr>
              <w:pStyle w:val="TableParagraph"/>
              <w:ind w:left="108" w:right="114"/>
              <w:rPr>
                <w:sz w:val="20"/>
              </w:rPr>
            </w:pPr>
            <w:r>
              <w:rPr>
                <w:sz w:val="20"/>
              </w:rPr>
              <w:t>Objective #1.02: By 8/29/2022, the CT will have assessed suicide risk of 85% of adults who are screened as measured by the SRA.</w:t>
            </w:r>
          </w:p>
        </w:tc>
      </w:tr>
      <w:tr w:rsidR="00F72672" w14:paraId="0F3B7FAD" w14:textId="77777777" w:rsidTr="008E652D">
        <w:trPr>
          <w:trHeight w:val="1610"/>
        </w:trPr>
        <w:tc>
          <w:tcPr>
            <w:tcW w:w="3115" w:type="dxa"/>
          </w:tcPr>
          <w:p w14:paraId="6878454C" w14:textId="77777777" w:rsidR="00F72672" w:rsidRDefault="00F72672" w:rsidP="008E652D">
            <w:pPr>
              <w:pStyle w:val="TableParagraph"/>
              <w:ind w:left="107" w:right="116"/>
              <w:rPr>
                <w:sz w:val="20"/>
              </w:rPr>
            </w:pPr>
            <w:r>
              <w:rPr>
                <w:sz w:val="20"/>
              </w:rPr>
              <w:t>Goal #1: Increase timely access to evidence-based outpatient behavioral health care for children, adolescents, and adults who are experiencing SMI, SUD, COD</w:t>
            </w:r>
          </w:p>
          <w:p w14:paraId="690759D6" w14:textId="77777777" w:rsidR="00F72672" w:rsidRDefault="00F72672" w:rsidP="008E652D">
            <w:pPr>
              <w:pStyle w:val="TableParagraph"/>
              <w:spacing w:line="230" w:lineRule="atLeast"/>
              <w:ind w:left="107" w:right="101"/>
              <w:rPr>
                <w:sz w:val="20"/>
              </w:rPr>
            </w:pPr>
            <w:r>
              <w:rPr>
                <w:sz w:val="20"/>
              </w:rPr>
              <w:t>and/or SED to reduce consequences of non-treatment.</w:t>
            </w:r>
          </w:p>
        </w:tc>
        <w:tc>
          <w:tcPr>
            <w:tcW w:w="3117" w:type="dxa"/>
          </w:tcPr>
          <w:p w14:paraId="5A0E4FCA" w14:textId="77777777" w:rsidR="00F72672" w:rsidRDefault="00F72672" w:rsidP="008E652D">
            <w:pPr>
              <w:pStyle w:val="TableParagraph"/>
              <w:ind w:left="230" w:right="429"/>
              <w:rPr>
                <w:sz w:val="20"/>
              </w:rPr>
            </w:pPr>
            <w:r>
              <w:rPr>
                <w:sz w:val="20"/>
              </w:rPr>
              <w:t>Objective #1.03: Between 9/1/2020 to 8/29/2021, the CT will have referred 25% of qualifying individuals to</w:t>
            </w:r>
          </w:p>
          <w:p w14:paraId="7217EB8B" w14:textId="77777777" w:rsidR="00F72672" w:rsidRDefault="00F72672" w:rsidP="008E652D">
            <w:pPr>
              <w:pStyle w:val="TableParagraph"/>
              <w:spacing w:before="2" w:line="230" w:lineRule="exact"/>
              <w:ind w:left="230" w:right="97"/>
              <w:jc w:val="both"/>
              <w:rPr>
                <w:sz w:val="20"/>
              </w:rPr>
            </w:pPr>
            <w:r>
              <w:rPr>
                <w:sz w:val="20"/>
              </w:rPr>
              <w:t>evidence-based supported housing interventions as measured by EHR statistics.</w:t>
            </w:r>
          </w:p>
        </w:tc>
        <w:tc>
          <w:tcPr>
            <w:tcW w:w="3117" w:type="dxa"/>
          </w:tcPr>
          <w:p w14:paraId="1AB43AAB" w14:textId="77777777" w:rsidR="00F72672" w:rsidRDefault="00F72672" w:rsidP="008E652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Objective #1.03: Between 9/1/2021 and 8/29/2022, the CT will have referred 45% of qualifying individuals to evidence-based supported housing interventions as measured by EHR statistics.</w:t>
            </w:r>
          </w:p>
        </w:tc>
      </w:tr>
      <w:tr w:rsidR="00F72672" w14:paraId="732ACA23" w14:textId="77777777" w:rsidTr="008E652D">
        <w:trPr>
          <w:trHeight w:val="1608"/>
        </w:trPr>
        <w:tc>
          <w:tcPr>
            <w:tcW w:w="3115" w:type="dxa"/>
          </w:tcPr>
          <w:p w14:paraId="789DC33F" w14:textId="77777777" w:rsidR="00F72672" w:rsidRDefault="00F72672" w:rsidP="008E652D">
            <w:pPr>
              <w:pStyle w:val="TableParagraph"/>
              <w:ind w:left="107" w:right="116"/>
              <w:rPr>
                <w:sz w:val="20"/>
              </w:rPr>
            </w:pPr>
            <w:r>
              <w:rPr>
                <w:sz w:val="20"/>
              </w:rPr>
              <w:t>Goal #1: Increase timely access to evidence-based outpatient behavioral health care for children, adolescents, and adults who are experiencing SMI, SUD, COD</w:t>
            </w:r>
          </w:p>
          <w:p w14:paraId="575838F4" w14:textId="77777777" w:rsidR="00F72672" w:rsidRDefault="00F72672" w:rsidP="008E652D">
            <w:pPr>
              <w:pStyle w:val="TableParagraph"/>
              <w:spacing w:line="230" w:lineRule="atLeast"/>
              <w:ind w:left="107" w:right="101"/>
              <w:rPr>
                <w:sz w:val="20"/>
              </w:rPr>
            </w:pPr>
            <w:r>
              <w:rPr>
                <w:sz w:val="20"/>
              </w:rPr>
              <w:t>and/or SED to reduce consequences of non-treatment.</w:t>
            </w:r>
          </w:p>
        </w:tc>
        <w:tc>
          <w:tcPr>
            <w:tcW w:w="3117" w:type="dxa"/>
          </w:tcPr>
          <w:p w14:paraId="6E8DC639" w14:textId="77777777" w:rsidR="00F72672" w:rsidRDefault="00F72672" w:rsidP="008E652D">
            <w:pPr>
              <w:pStyle w:val="TableParagraph"/>
              <w:ind w:left="230" w:right="101"/>
              <w:rPr>
                <w:sz w:val="20"/>
              </w:rPr>
            </w:pPr>
            <w:r>
              <w:rPr>
                <w:sz w:val="20"/>
              </w:rPr>
              <w:t>Objective #1.04: By 8/29/2021, the Vocational Rehabilitation Counselor (VRC) will have referred 25% of qualifying individuals to outside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</w:p>
          <w:p w14:paraId="4FFA73E3" w14:textId="77777777" w:rsidR="00F72672" w:rsidRDefault="00F72672" w:rsidP="008E652D">
            <w:pPr>
              <w:pStyle w:val="TableParagraph"/>
              <w:spacing w:line="230" w:lineRule="atLeast"/>
              <w:ind w:left="230" w:right="518"/>
              <w:rPr>
                <w:sz w:val="20"/>
              </w:rPr>
            </w:pPr>
            <w:r>
              <w:rPr>
                <w:sz w:val="20"/>
              </w:rPr>
              <w:t>opportunities as measured by EHR statistics.</w:t>
            </w:r>
          </w:p>
        </w:tc>
        <w:tc>
          <w:tcPr>
            <w:tcW w:w="3117" w:type="dxa"/>
          </w:tcPr>
          <w:p w14:paraId="563CBCFB" w14:textId="77777777" w:rsidR="00F72672" w:rsidRDefault="00F72672" w:rsidP="008E652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Objective #1.04: By 8/29/2022, the VRC will have referred 45% of qualifying individuals to outside employment opportunities as measured by EHR statistics.</w:t>
            </w:r>
          </w:p>
        </w:tc>
      </w:tr>
      <w:tr w:rsidR="00F72672" w14:paraId="587E0DDF" w14:textId="77777777" w:rsidTr="008E652D">
        <w:trPr>
          <w:trHeight w:val="1608"/>
        </w:trPr>
        <w:tc>
          <w:tcPr>
            <w:tcW w:w="3115" w:type="dxa"/>
          </w:tcPr>
          <w:p w14:paraId="4B99A291" w14:textId="77777777" w:rsidR="00F72672" w:rsidRDefault="00F72672" w:rsidP="008E652D">
            <w:pPr>
              <w:pStyle w:val="TableParagraph"/>
              <w:ind w:left="107" w:right="116"/>
              <w:rPr>
                <w:sz w:val="20"/>
              </w:rPr>
            </w:pPr>
            <w:r>
              <w:rPr>
                <w:sz w:val="20"/>
              </w:rPr>
              <w:t>Goal #1: Increase timely access to evidence-based outpatient behavioral health care for children, adolescents, and adults who are experiencing SMI, SUD, COD</w:t>
            </w:r>
          </w:p>
          <w:p w14:paraId="5FFE6645" w14:textId="77777777" w:rsidR="00F72672" w:rsidRDefault="00F72672" w:rsidP="008E652D">
            <w:pPr>
              <w:pStyle w:val="TableParagraph"/>
              <w:spacing w:line="230" w:lineRule="atLeast"/>
              <w:ind w:left="107" w:right="101"/>
              <w:rPr>
                <w:sz w:val="20"/>
              </w:rPr>
            </w:pPr>
            <w:r>
              <w:rPr>
                <w:sz w:val="20"/>
              </w:rPr>
              <w:t>and/or SED to reduce consequences of non-treatment.</w:t>
            </w:r>
          </w:p>
        </w:tc>
        <w:tc>
          <w:tcPr>
            <w:tcW w:w="3117" w:type="dxa"/>
          </w:tcPr>
          <w:p w14:paraId="3DA65DDA" w14:textId="77777777" w:rsidR="00F72672" w:rsidRDefault="00F72672" w:rsidP="008E652D">
            <w:pPr>
              <w:pStyle w:val="TableParagraph"/>
              <w:ind w:left="230" w:right="184"/>
              <w:rPr>
                <w:sz w:val="20"/>
              </w:rPr>
            </w:pPr>
            <w:r>
              <w:rPr>
                <w:sz w:val="20"/>
              </w:rPr>
              <w:t>Objective #1.05: By 8/29/2021, the CT will have provided nicotine cessation counseling to 25% of qualifying adults as measured by EHR statistics.</w:t>
            </w:r>
          </w:p>
        </w:tc>
        <w:tc>
          <w:tcPr>
            <w:tcW w:w="3117" w:type="dxa"/>
          </w:tcPr>
          <w:p w14:paraId="326B468B" w14:textId="77777777" w:rsidR="00F72672" w:rsidRDefault="00F72672" w:rsidP="008E652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Objective #1.05: By 8/29/2022, the CT will have provided nicotine cessation counseling to 45% of qualifying adults as measured by EHR statistics.</w:t>
            </w:r>
          </w:p>
        </w:tc>
      </w:tr>
      <w:tr w:rsidR="00F72672" w14:paraId="6A46E7D4" w14:textId="77777777" w:rsidTr="008E652D">
        <w:trPr>
          <w:trHeight w:val="1608"/>
        </w:trPr>
        <w:tc>
          <w:tcPr>
            <w:tcW w:w="3115" w:type="dxa"/>
          </w:tcPr>
          <w:p w14:paraId="76E719DF" w14:textId="77777777" w:rsidR="00F72672" w:rsidRDefault="00F72672" w:rsidP="008E652D">
            <w:pPr>
              <w:pStyle w:val="TableParagraph"/>
              <w:ind w:left="107" w:right="116"/>
              <w:rPr>
                <w:sz w:val="20"/>
              </w:rPr>
            </w:pPr>
            <w:r>
              <w:rPr>
                <w:sz w:val="20"/>
              </w:rPr>
              <w:t>Goal #1: Increase timely access to evidence-based outpatient behavioral health care for children, adolescents, and adults who are experiencing SMI, SUD, COD</w:t>
            </w:r>
          </w:p>
          <w:p w14:paraId="1AD87580" w14:textId="77777777" w:rsidR="00F72672" w:rsidRDefault="00F72672" w:rsidP="008E652D">
            <w:pPr>
              <w:pStyle w:val="TableParagraph"/>
              <w:spacing w:line="230" w:lineRule="atLeast"/>
              <w:ind w:left="107" w:right="101"/>
              <w:rPr>
                <w:sz w:val="20"/>
              </w:rPr>
            </w:pPr>
            <w:r>
              <w:rPr>
                <w:sz w:val="20"/>
              </w:rPr>
              <w:t>and/or SED to reduce consequences of non-treatment.</w:t>
            </w:r>
          </w:p>
        </w:tc>
        <w:tc>
          <w:tcPr>
            <w:tcW w:w="3117" w:type="dxa"/>
          </w:tcPr>
          <w:p w14:paraId="7D208224" w14:textId="77777777" w:rsidR="00F72672" w:rsidRDefault="00F72672" w:rsidP="008E652D">
            <w:pPr>
              <w:pStyle w:val="TableParagraph"/>
              <w:ind w:left="230" w:right="224"/>
              <w:rPr>
                <w:sz w:val="20"/>
              </w:rPr>
            </w:pPr>
            <w:r>
              <w:rPr>
                <w:sz w:val="20"/>
              </w:rPr>
              <w:t>Objective #1.06: By 8/29/2021, the CT will have provided unhealthy alcohol use screening and education to 25% of qualifying adults as measured by EHR statistics.</w:t>
            </w:r>
          </w:p>
        </w:tc>
        <w:tc>
          <w:tcPr>
            <w:tcW w:w="3117" w:type="dxa"/>
          </w:tcPr>
          <w:p w14:paraId="632DACB1" w14:textId="77777777" w:rsidR="00F72672" w:rsidRDefault="00F72672" w:rsidP="008E652D">
            <w:pPr>
              <w:pStyle w:val="TableParagraph"/>
              <w:ind w:left="108" w:right="91"/>
              <w:rPr>
                <w:sz w:val="20"/>
              </w:rPr>
            </w:pPr>
            <w:r>
              <w:rPr>
                <w:sz w:val="20"/>
              </w:rPr>
              <w:t>Objective #1.06: By 8/29/2022, the CT will have provided unhealthy alcohol use screening and education to 45% of qualifying adults as measured by EHR statistics.</w:t>
            </w:r>
          </w:p>
        </w:tc>
      </w:tr>
    </w:tbl>
    <w:p w14:paraId="3C128A84" w14:textId="033CB85E" w:rsidR="00BF0099" w:rsidRDefault="00BF0099"/>
    <w:p w14:paraId="4B799F87" w14:textId="40F458BF" w:rsidR="00F72672" w:rsidRDefault="00F72672"/>
    <w:p w14:paraId="78FD5ECA" w14:textId="2B2A6F8F" w:rsidR="00F72672" w:rsidRDefault="00F72672"/>
    <w:p w14:paraId="16068450" w14:textId="130EAFDB" w:rsidR="00F72672" w:rsidRDefault="00F72672"/>
    <w:p w14:paraId="357D2047" w14:textId="1C4C14B8" w:rsidR="00F72672" w:rsidRDefault="00F72672"/>
    <w:p w14:paraId="2DC390EA" w14:textId="77777777" w:rsidR="00F72672" w:rsidRDefault="00F72672"/>
    <w:p w14:paraId="0B541591" w14:textId="33CC1659" w:rsidR="00F72672" w:rsidRDefault="00F72672"/>
    <w:tbl>
      <w:tblPr>
        <w:tblW w:w="9349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3117"/>
        <w:gridCol w:w="3117"/>
      </w:tblGrid>
      <w:tr w:rsidR="00F72672" w14:paraId="562DA2C2" w14:textId="77777777" w:rsidTr="00F72672">
        <w:trPr>
          <w:trHeight w:val="458"/>
        </w:trPr>
        <w:tc>
          <w:tcPr>
            <w:tcW w:w="3115" w:type="dxa"/>
          </w:tcPr>
          <w:p w14:paraId="30F3D77A" w14:textId="1429421E" w:rsidR="00F72672" w:rsidRDefault="00F72672" w:rsidP="008E652D">
            <w:pPr>
              <w:pStyle w:val="TableParagraph"/>
              <w:spacing w:before="1" w:line="230" w:lineRule="exact"/>
              <w:ind w:left="107" w:right="116"/>
              <w:rPr>
                <w:sz w:val="20"/>
              </w:rPr>
            </w:pPr>
            <w:r>
              <w:rPr>
                <w:sz w:val="20"/>
              </w:rPr>
              <w:t>Goal #2: Expand our scope of practice to include care coordination activities to reduce risk factors contributing to poor health outcomes.</w:t>
            </w:r>
          </w:p>
        </w:tc>
        <w:tc>
          <w:tcPr>
            <w:tcW w:w="3117" w:type="dxa"/>
          </w:tcPr>
          <w:p w14:paraId="3EDFB7EB" w14:textId="77777777" w:rsidR="00F72672" w:rsidRDefault="00F72672" w:rsidP="00F72672">
            <w:pPr>
              <w:pStyle w:val="TableParagraph"/>
              <w:ind w:left="108" w:right="168"/>
              <w:rPr>
                <w:sz w:val="20"/>
              </w:rPr>
            </w:pPr>
            <w:r>
              <w:rPr>
                <w:sz w:val="20"/>
              </w:rPr>
              <w:t>Objective #2.00: Between 9/1/2020 and 8/29/2021, the care coordination team (CCT) will have coordinated care for qualifying individuals leading to a benchmark no show rate of 20% among</w:t>
            </w:r>
          </w:p>
          <w:p w14:paraId="159E2B8E" w14:textId="279F7B6E" w:rsidR="00F72672" w:rsidRDefault="00F72672" w:rsidP="00F72672">
            <w:pPr>
              <w:pStyle w:val="TableParagraph"/>
              <w:spacing w:before="1"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participants as measured EHR statistics.</w:t>
            </w:r>
          </w:p>
        </w:tc>
        <w:tc>
          <w:tcPr>
            <w:tcW w:w="3117" w:type="dxa"/>
          </w:tcPr>
          <w:p w14:paraId="6FF99DF5" w14:textId="6041E007" w:rsidR="00F72672" w:rsidRDefault="00F72672" w:rsidP="008E652D">
            <w:pPr>
              <w:pStyle w:val="TableParagraph"/>
              <w:spacing w:before="1"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Objective #2.00: Between 9/1/2021 and 8/29/2022, the CCT will have coordinated care for qualifying individuals maintaining a no show rate of 20% among participants as measured EHR statistics.</w:t>
            </w:r>
          </w:p>
        </w:tc>
      </w:tr>
      <w:tr w:rsidR="00F72672" w14:paraId="4499436A" w14:textId="77777777" w:rsidTr="00F72672">
        <w:trPr>
          <w:trHeight w:val="1608"/>
        </w:trPr>
        <w:tc>
          <w:tcPr>
            <w:tcW w:w="3115" w:type="dxa"/>
          </w:tcPr>
          <w:p w14:paraId="4E2D1060" w14:textId="77777777" w:rsidR="00F72672" w:rsidRDefault="00F72672" w:rsidP="008E652D">
            <w:pPr>
              <w:pStyle w:val="TableParagraph"/>
              <w:ind w:left="107" w:right="406"/>
              <w:rPr>
                <w:sz w:val="20"/>
              </w:rPr>
            </w:pPr>
            <w:r>
              <w:rPr>
                <w:sz w:val="20"/>
              </w:rPr>
              <w:t>Goal #2: Expand our scope of practice to include care coordination activities to reduce risk factors contributing to poor health outcomes.</w:t>
            </w:r>
          </w:p>
        </w:tc>
        <w:tc>
          <w:tcPr>
            <w:tcW w:w="3117" w:type="dxa"/>
          </w:tcPr>
          <w:p w14:paraId="31DA18A1" w14:textId="77777777" w:rsidR="00F72672" w:rsidRDefault="00F72672" w:rsidP="008E652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Objective #2.01: Between 9/1/2020 and 8/29/2021, the CCT will have coordinated care for qualifying individuals leading to a Medication Adherence of 80% as measured by</w:t>
            </w:r>
          </w:p>
          <w:p w14:paraId="16EFA598" w14:textId="77777777" w:rsidR="00F72672" w:rsidRDefault="00F72672" w:rsidP="008E652D">
            <w:pPr>
              <w:pStyle w:val="TableParagraph"/>
              <w:spacing w:line="230" w:lineRule="atLeast"/>
              <w:ind w:left="108" w:right="318"/>
              <w:rPr>
                <w:sz w:val="20"/>
              </w:rPr>
            </w:pPr>
            <w:r>
              <w:rPr>
                <w:sz w:val="20"/>
              </w:rPr>
              <w:t>Clinical Quality Measure (CQM) 128.</w:t>
            </w:r>
          </w:p>
        </w:tc>
        <w:tc>
          <w:tcPr>
            <w:tcW w:w="3117" w:type="dxa"/>
          </w:tcPr>
          <w:p w14:paraId="02B0682D" w14:textId="77777777" w:rsidR="00F72672" w:rsidRDefault="00F72672" w:rsidP="008E652D">
            <w:pPr>
              <w:pStyle w:val="TableParagraph"/>
              <w:ind w:left="108" w:right="113"/>
              <w:rPr>
                <w:sz w:val="20"/>
              </w:rPr>
            </w:pPr>
            <w:r>
              <w:rPr>
                <w:sz w:val="20"/>
              </w:rPr>
              <w:t>Objective #2.01: Between 9/1/2021 and 8/29/2022, the CCT will maintain coordinated care for qualifying individuals leading to a Medication Adherence of 80% as measured by CQM 128.</w:t>
            </w:r>
          </w:p>
        </w:tc>
      </w:tr>
      <w:tr w:rsidR="00F72672" w14:paraId="09A677E8" w14:textId="77777777" w:rsidTr="00F72672">
        <w:trPr>
          <w:trHeight w:val="1149"/>
        </w:trPr>
        <w:tc>
          <w:tcPr>
            <w:tcW w:w="3115" w:type="dxa"/>
          </w:tcPr>
          <w:p w14:paraId="46BC14C6" w14:textId="77777777" w:rsidR="00F72672" w:rsidRDefault="00F72672" w:rsidP="008E652D">
            <w:pPr>
              <w:pStyle w:val="TableParagraph"/>
              <w:ind w:left="107" w:right="406"/>
              <w:rPr>
                <w:sz w:val="20"/>
              </w:rPr>
            </w:pPr>
            <w:r>
              <w:rPr>
                <w:sz w:val="20"/>
              </w:rPr>
              <w:t>Goal #2: Expand our scope of practice to include care coordination activities to reduce</w:t>
            </w:r>
          </w:p>
          <w:p w14:paraId="3875C38D" w14:textId="77777777" w:rsidR="00F72672" w:rsidRDefault="00F72672" w:rsidP="008E652D">
            <w:pPr>
              <w:pStyle w:val="TableParagraph"/>
              <w:spacing w:before="3" w:line="228" w:lineRule="exact"/>
              <w:ind w:left="107" w:right="434"/>
              <w:rPr>
                <w:sz w:val="20"/>
              </w:rPr>
            </w:pPr>
            <w:r>
              <w:rPr>
                <w:sz w:val="20"/>
              </w:rPr>
              <w:t>risk factors contributing to poor health outcomes.</w:t>
            </w:r>
          </w:p>
        </w:tc>
        <w:tc>
          <w:tcPr>
            <w:tcW w:w="3117" w:type="dxa"/>
          </w:tcPr>
          <w:p w14:paraId="18DBC6FA" w14:textId="77777777" w:rsidR="00F72672" w:rsidRDefault="00F72672" w:rsidP="008E652D">
            <w:pPr>
              <w:pStyle w:val="TableParagraph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Objective #2.02: Between 9/1/2020 and 8/29/2021 the CCT will refer or confirm a primary care physician</w:t>
            </w:r>
          </w:p>
          <w:p w14:paraId="426D14A0" w14:textId="77777777" w:rsidR="00F72672" w:rsidRDefault="00F72672" w:rsidP="008E652D">
            <w:pPr>
              <w:pStyle w:val="TableParagraph"/>
              <w:spacing w:before="3" w:line="228" w:lineRule="exact"/>
              <w:ind w:left="108" w:right="799"/>
              <w:jc w:val="both"/>
              <w:rPr>
                <w:sz w:val="20"/>
              </w:rPr>
            </w:pPr>
            <w:r>
              <w:rPr>
                <w:sz w:val="20"/>
              </w:rPr>
              <w:t>(PCP) for 75% of the client population seen.</w:t>
            </w:r>
          </w:p>
        </w:tc>
        <w:tc>
          <w:tcPr>
            <w:tcW w:w="3117" w:type="dxa"/>
          </w:tcPr>
          <w:p w14:paraId="6DBD139E" w14:textId="77777777" w:rsidR="00F72672" w:rsidRDefault="00F72672" w:rsidP="008E652D"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Objective #2.02: Between 9/1/2021 and 8/29/2022 the CCT will refer or confirm a PCP for 90% of the client population seen.</w:t>
            </w:r>
          </w:p>
        </w:tc>
      </w:tr>
    </w:tbl>
    <w:p w14:paraId="3782106D" w14:textId="77777777" w:rsidR="00F72672" w:rsidRDefault="00F72672"/>
    <w:sectPr w:rsidR="00F72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72"/>
    <w:rsid w:val="000127DD"/>
    <w:rsid w:val="00BF0099"/>
    <w:rsid w:val="00F7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8EBB"/>
  <w15:chartTrackingRefBased/>
  <w15:docId w15:val="{96921CC1-5327-4A3E-9FD0-4CF425E5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72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4731</Characters>
  <Application>Microsoft Office Word</Application>
  <DocSecurity>4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Carlock-Self</dc:creator>
  <cp:keywords/>
  <dc:description/>
  <cp:lastModifiedBy>Cherhonda Brown</cp:lastModifiedBy>
  <cp:revision>2</cp:revision>
  <dcterms:created xsi:type="dcterms:W3CDTF">2020-09-30T17:34:00Z</dcterms:created>
  <dcterms:modified xsi:type="dcterms:W3CDTF">2020-09-30T17:34:00Z</dcterms:modified>
</cp:coreProperties>
</file>